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F7C" w:rsidRPr="005653F2" w:rsidRDefault="00C44F7C" w:rsidP="005653F2">
      <w:pPr>
        <w:spacing w:after="0" w:line="276" w:lineRule="auto"/>
        <w:jc w:val="right"/>
        <w:rPr>
          <w:rFonts w:ascii="Trebuchet MS" w:eastAsia="Calibri" w:hAnsi="Trebuchet MS" w:cs="Times New Roman"/>
          <w:b/>
          <w:lang w:val="ro-RO"/>
        </w:rPr>
      </w:pPr>
      <w:r w:rsidRPr="005653F2">
        <w:rPr>
          <w:rFonts w:ascii="Trebuchet MS" w:eastAsia="Calibri" w:hAnsi="Trebuchet MS" w:cs="Times New Roman"/>
          <w:b/>
          <w:lang w:val="ro-RO"/>
        </w:rPr>
        <w:t>Anexa 5</w:t>
      </w:r>
    </w:p>
    <w:p w:rsidR="00C44F7C" w:rsidRPr="005653F2" w:rsidRDefault="00C44F7C" w:rsidP="005653F2">
      <w:pPr>
        <w:spacing w:after="0" w:line="276" w:lineRule="auto"/>
        <w:jc w:val="both"/>
        <w:rPr>
          <w:rFonts w:ascii="Trebuchet MS" w:eastAsia="Calibri" w:hAnsi="Trebuchet MS" w:cs="Times New Roman"/>
          <w:b/>
          <w:lang w:val="ro-RO"/>
        </w:rPr>
      </w:pPr>
    </w:p>
    <w:p w:rsidR="004A6D9C" w:rsidRPr="005653F2" w:rsidRDefault="004A6D9C" w:rsidP="005653F2">
      <w:pPr>
        <w:tabs>
          <w:tab w:val="left" w:pos="270"/>
          <w:tab w:val="left" w:pos="360"/>
          <w:tab w:val="left" w:pos="450"/>
        </w:tabs>
        <w:autoSpaceDE w:val="0"/>
        <w:autoSpaceDN w:val="0"/>
        <w:adjustRightInd w:val="0"/>
        <w:spacing w:after="0" w:line="276" w:lineRule="auto"/>
        <w:jc w:val="both"/>
        <w:rPr>
          <w:rFonts w:ascii="Trebuchet MS" w:eastAsia="Calibri" w:hAnsi="Trebuchet MS" w:cstheme="minorHAnsi"/>
          <w:b/>
          <w:bCs/>
          <w:lang w:val="ro-RO"/>
        </w:rPr>
      </w:pPr>
      <w:r w:rsidRPr="005653F2">
        <w:rPr>
          <w:rFonts w:ascii="Trebuchet MS" w:eastAsia="Calibri" w:hAnsi="Trebuchet MS" w:cstheme="minorHAnsi"/>
          <w:b/>
          <w:bCs/>
          <w:lang w:val="ro-RO"/>
        </w:rPr>
        <w:t>Înfiinţarea infrastructurii publice pentru categoriile defavorizate/ minorităţi -  Codul măsurii – M6/6B</w:t>
      </w:r>
    </w:p>
    <w:p w:rsidR="004A6D9C" w:rsidRPr="005653F2" w:rsidRDefault="004A6D9C" w:rsidP="005653F2">
      <w:pPr>
        <w:tabs>
          <w:tab w:val="left" w:pos="270"/>
          <w:tab w:val="left" w:pos="360"/>
          <w:tab w:val="left" w:pos="450"/>
        </w:tabs>
        <w:autoSpaceDE w:val="0"/>
        <w:autoSpaceDN w:val="0"/>
        <w:adjustRightInd w:val="0"/>
        <w:spacing w:after="0" w:line="276" w:lineRule="auto"/>
        <w:jc w:val="both"/>
        <w:rPr>
          <w:rFonts w:ascii="Trebuchet MS" w:eastAsia="Calibri" w:hAnsi="Trebuchet MS" w:cstheme="minorHAnsi"/>
          <w:b/>
          <w:bCs/>
          <w:lang w:val="ro-RO"/>
        </w:rPr>
      </w:pP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Tipul măsurii: </w:t>
      </w:r>
      <w:r w:rsidRPr="005653F2">
        <w:rPr>
          <w:rFonts w:ascii="Segoe UI Symbol" w:eastAsia="Calibri" w:hAnsi="Segoe UI Symbol" w:cs="Segoe UI Symbol"/>
          <w:b/>
          <w:bCs/>
          <w:lang w:val="ro-RO"/>
        </w:rPr>
        <w:t>☒</w:t>
      </w:r>
      <w:r w:rsidRPr="005653F2">
        <w:rPr>
          <w:rFonts w:ascii="Trebuchet MS" w:eastAsia="Calibri" w:hAnsi="Trebuchet MS" w:cstheme="minorHAnsi"/>
          <w:b/>
          <w:bCs/>
          <w:lang w:val="ro-RO"/>
        </w:rPr>
        <w:t xml:space="preserve"> INVESTIȚII </w:t>
      </w:r>
    </w:p>
    <w:p w:rsidR="004A6D9C" w:rsidRPr="005653F2" w:rsidRDefault="004A6D9C" w:rsidP="005653F2">
      <w:pPr>
        <w:autoSpaceDE w:val="0"/>
        <w:autoSpaceDN w:val="0"/>
        <w:adjustRightInd w:val="0"/>
        <w:spacing w:after="0" w:line="276" w:lineRule="auto"/>
        <w:ind w:left="1065"/>
        <w:jc w:val="both"/>
        <w:rPr>
          <w:rFonts w:ascii="Trebuchet MS" w:eastAsia="Calibri" w:hAnsi="Trebuchet MS" w:cstheme="minorHAnsi"/>
          <w:lang w:val="ro-RO"/>
        </w:rPr>
      </w:pPr>
      <w:r w:rsidRPr="005653F2">
        <w:rPr>
          <w:rFonts w:ascii="Trebuchet MS" w:eastAsia="Calibri" w:hAnsi="Trebuchet MS" w:cstheme="minorHAnsi"/>
          <w:lang w:val="ro-RO"/>
        </w:rPr>
        <w:t xml:space="preserve">      </w:t>
      </w:r>
      <w:r w:rsidRPr="005653F2">
        <w:rPr>
          <w:rFonts w:ascii="Segoe UI Symbol" w:eastAsia="Calibri" w:hAnsi="Segoe UI Symbol" w:cs="Segoe UI Symbol"/>
          <w:lang w:val="ro-RO"/>
        </w:rPr>
        <w:t>☐</w:t>
      </w:r>
      <w:r w:rsidRPr="005653F2">
        <w:rPr>
          <w:rFonts w:ascii="Trebuchet MS" w:eastAsia="Calibri" w:hAnsi="Trebuchet MS" w:cstheme="minorHAnsi"/>
          <w:lang w:val="ro-RO"/>
        </w:rPr>
        <w:t xml:space="preserve"> SERVICII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                          </w:t>
      </w:r>
      <w:r w:rsidRPr="005653F2">
        <w:rPr>
          <w:rFonts w:ascii="Segoe UI Symbol" w:eastAsia="Calibri" w:hAnsi="Segoe UI Symbol" w:cs="Segoe UI Symbol"/>
          <w:lang w:val="ro-RO"/>
        </w:rPr>
        <w:t>☐</w:t>
      </w:r>
      <w:r w:rsidRPr="005653F2">
        <w:rPr>
          <w:rFonts w:ascii="Trebuchet MS" w:eastAsia="Calibri" w:hAnsi="Trebuchet MS" w:cstheme="minorHAnsi"/>
          <w:lang w:val="ro-RO"/>
        </w:rPr>
        <w:t xml:space="preserve"> SPRIJIN FORFETAR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p>
    <w:p w:rsidR="004A6D9C" w:rsidRPr="005653F2" w:rsidRDefault="004A6D9C" w:rsidP="005653F2">
      <w:pPr>
        <w:numPr>
          <w:ilvl w:val="0"/>
          <w:numId w:val="42"/>
        </w:numPr>
        <w:tabs>
          <w:tab w:val="clear" w:pos="1065"/>
          <w:tab w:val="num" w:pos="180"/>
          <w:tab w:val="left" w:pos="360"/>
          <w:tab w:val="left" w:pos="45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DESCRIEREA GENERALĂ A MĂSURII, inclusiv a logicii de intervenție a acesteia și a contribuției la prioritățile strategiei, la domeniile de intervenție, la obiectivele transversale și a complementarității cu alte măsuri din SDL</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Măsura M6/6B răspunde unor probleme sociale identificate în teritoriul GAL. Infrastructura socială un exista în nici o comună parteneră şi acesta este una dintre cauzele care limitează dezvoltarea serviciilor de bază pentru categoriile dezavantajate. Scopul acestei măsuri este dezvoltarea unor centre comunitare de incluziune socială, care vor facilita evoluția spre o serie de comunități integrate economic și social.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În baza procesului de consultare între partenerii (publici, privaţi, ONG) din teritoriu, precum şi în baza analizei SWOT, se observa nevoia acută de dezvoltare a serviciilor sociale pentru persoanele defavorizate, afectată de sărăcie şi de excluziune socială: adulți (ex. șomeri, inactivi, persoane cu un nivel scăzut de educație etc); persoane aparținând minorității rome; persoane cu dizabilități; persoane vârstnice aflate în situații de dependență; copii care trăiesc în comunitatea marginalizată; părinţi/ tutori/ îngrijitori informali ai ante-preșcolarilor/ copiilor/ preşcolarilor/ elevilor cu risc de părăsire timpurie a şcolii; persoane care au părăsit de timpuriu scoala.</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Una din problemele cele mai importante la nivelul teritoriului este nivelul ridicat al şomajului şi nivelul ridicat de sărăcie. Conform INS, rata șomajului la nivelul GAL este de 12,88%. Fenomenul șomajului înregistrat la nivelul teritoriului GAL este ridicat, situându-se peste 10,97%, rata șomajului înregistrată la nivelul județului Teleorman şi 4,90% la nivel naţional. Se constată că multe persoane sunt inactive sau neangajate formal, cu şanse mici de a căpăta acces corespunzător la piața muncii.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De asemenea, este evident faptul că nivelul de educaţie al populației este foarte scăzut, cei mai mulţi dintre locuitori având doar studii gimnaziale (33,26%) şi primare (31,46%).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Din punct de vedere etnic se constată existenţa unui număr de 1.013 persoane de etnie romă, reprezentând 2,55% din populația teritoriului. Aceştia sunt concentraţi în comunele Lunca – 648 persoane şi Putineiu – 201 persoane (Recensământul Populaţiei şi al Locuinţelor 2011) (Sursă: Recensământul Populației și Locuințelor din anul 2011). Mare parte dintre aceştia trăiesc în sărăcie şi sunt expuşi la sărăcie extremă. Romii prezintă un risc mult mai mare de sărăcie, indiferent de vârstă, educație sau mediul de reședință/domiciliu. Având la baza analiza SWOT, problemele identificate în procesul de inserţie pe piaţa muncii al persoanelor de etnie romă sunt: interes redus al populaţiei rome în ceea ce priveşte educaţia; marginalizarea produsă de deficitul multiplu de condiţii susţine prejudecăţi şi atitudini discriminatorii care agravează excluziunea socială, afectează participarea la educaţie şi reduce semnificativ şansele integrării pe piaţa muncii; nivelul scăzut de calificare şi experienţa ce implica integrarea redusă pe piaţa </w:t>
      </w:r>
      <w:r w:rsidRPr="005653F2">
        <w:rPr>
          <w:rFonts w:ascii="Trebuchet MS" w:eastAsia="Calibri" w:hAnsi="Trebuchet MS" w:cstheme="minorHAnsi"/>
          <w:lang w:val="ro-RO"/>
        </w:rPr>
        <w:lastRenderedPageBreak/>
        <w:t>muncii, cu efect direct în creşterea infracţionalităţii; reticenta angajatorilor de a angaja persoane de etnie romă; posibilităţile reduse ale părinţilor din familiile de romi, limitează accesul copiilor la educaţie; lipsa unei ocupaţii amplifica fenomenul migraţiei ilegale în scopul căutării unei surse de supravieţuire.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De asemenea, se observa accentuarea fenomenului de îmbătrânire a populaţiei. În 2015, numărul persoanelor peste 65 ani a fost de 13.222 persoane, reprezentând 33,24%, majoritatea beneficiind de pensii foarte mici sau aflasu-se în situații de dependență.</w:t>
      </w:r>
    </w:p>
    <w:p w:rsidR="004A6D9C" w:rsidRPr="005653F2" w:rsidRDefault="004A6D9C" w:rsidP="005653F2">
      <w:pPr>
        <w:tabs>
          <w:tab w:val="left" w:pos="27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Una dintre categoriile cele mai vulnerabile sunt copiii, cu accent pe copiii aparținând minorității roma, copiii cu dizabilități, copiii din comunitățile dezavantajate socio-economic, copiii cu unul sau ambii părinţi în mobilitate în afara localităţii de domiciliu etc. Conform Recensământului Populației și al Locuințelor 2011, populaţia GAL era formată din 5.048 persoane cu vârsta cuprinsă între 0 şi 14 ani, reprezentând 12,69% din populaţie. O parte însemnată din aceşti copii trăiesc în sărăcie, copiii de etnie romă fiind cei mai afectaţi. În cazul acestora se observă o rată scăzută de frecvenţa şcolară, copii care nu au mers niciodată la școală, iar procentul tinerilor fără o educație adecvată este ridicat.Totodată, există inegalități în ceea ce privește acoperirea cu servicii medicale de bază. Măsura urmăreşte incluziunea socială prin creşterea oportunităţilor educaţionale ale copiilor şi tinerilor din categorii defavorizate şi introducerea unor modele educaţionale alternative.</w:t>
      </w:r>
    </w:p>
    <w:p w:rsidR="004A6D9C" w:rsidRPr="005653F2" w:rsidRDefault="004A6D9C" w:rsidP="005653F2">
      <w:pPr>
        <w:tabs>
          <w:tab w:val="left" w:pos="27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Măsură contribuie la următorul obiectiv de dezvoltare rurală ale Reg (UE) nr.1305/2013: obținerea unei dezvoltări teritoriale echilibrate a economiilor și comunităților rurale, inclusiv crearea și menținerea de locuri de muncă.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Obiective specifice/locale ale măsurii sunt:</w:t>
      </w:r>
      <w:r w:rsidRPr="005653F2">
        <w:rPr>
          <w:rFonts w:ascii="Trebuchet MS" w:eastAsia="Calibri" w:hAnsi="Trebuchet MS" w:cstheme="minorHAnsi"/>
          <w:b/>
          <w:bCs/>
          <w:lang w:val="ro-RO"/>
        </w:rPr>
        <w:t xml:space="preserve"> </w:t>
      </w:r>
      <w:r w:rsidRPr="005653F2">
        <w:rPr>
          <w:rFonts w:ascii="Trebuchet MS" w:eastAsia="Calibri" w:hAnsi="Trebuchet MS" w:cstheme="minorHAnsi"/>
          <w:lang w:val="ro-RO"/>
        </w:rPr>
        <w:t>crearea infrastructurii necesare susţinerii unui sistem real de servicii sociale în teritoriul GAL „De la Sâi la Călmăţui”; prevenirea marginalizării sociale şi sprijinirea pentru reintegrarea persoanelor din categoriile defavorizate; facilitarea accesului persoanelor de etnie romă la integrarea pe piaţa muncii, combaterea discriminării, creşterea ratei de ocupare, dezvoltarea abilitaţilor acestui grup vulnerabil şi promovarea incluziunii lor sociale.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Măsura contribuie la  prioritatea P6 Promovarea incluziunii sociale, a reducerii sărăciei și a dezvoltării economice în zonele rurale, prevăzute în art. 5, Reg. (UE) nr. 1305/2013.</w:t>
      </w:r>
    </w:p>
    <w:p w:rsidR="004A6D9C" w:rsidRPr="005653F2" w:rsidRDefault="004A6D9C" w:rsidP="005653F2">
      <w:pPr>
        <w:tabs>
          <w:tab w:val="left" w:pos="285"/>
        </w:tabs>
        <w:autoSpaceDE w:val="0"/>
        <w:autoSpaceDN w:val="0"/>
        <w:adjustRightInd w:val="0"/>
        <w:spacing w:after="0" w:line="276" w:lineRule="auto"/>
        <w:jc w:val="both"/>
        <w:rPr>
          <w:rFonts w:ascii="Trebuchet MS" w:eastAsia="Calibri" w:hAnsi="Trebuchet MS" w:cstheme="minorHAnsi"/>
          <w:i/>
          <w:iCs/>
          <w:lang w:val="ro-RO"/>
        </w:rPr>
      </w:pPr>
      <w:r w:rsidRPr="005653F2">
        <w:rPr>
          <w:rFonts w:ascii="Trebuchet MS" w:eastAsia="Calibri" w:hAnsi="Trebuchet MS" w:cstheme="minorHAnsi"/>
          <w:lang w:val="ro-RO"/>
        </w:rPr>
        <w:t>Măsura corespunde obiectivelor art. 20 din Reg. (UE) 1305/2013 „Servicii de bază şi reînnoirea satelor în zonele rurale”.</w:t>
      </w:r>
      <w:r w:rsidRPr="005653F2">
        <w:rPr>
          <w:rFonts w:ascii="Trebuchet MS" w:eastAsia="Calibri" w:hAnsi="Trebuchet MS" w:cstheme="minorHAnsi"/>
          <w:i/>
          <w:iCs/>
          <w:lang w:val="ro-RO"/>
        </w:rPr>
        <w:t xml:space="preserve">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i/>
          <w:iCs/>
          <w:lang w:val="ro-RO"/>
        </w:rPr>
      </w:pPr>
      <w:r w:rsidRPr="005653F2">
        <w:rPr>
          <w:rFonts w:ascii="Trebuchet MS" w:eastAsia="Calibri" w:hAnsi="Trebuchet MS" w:cstheme="minorHAnsi"/>
          <w:lang w:val="ro-RO"/>
        </w:rPr>
        <w:t>Măsura contribuie la domeniul de intervenţie DI 6B): „Încurajarea dezvoltării locale în zonele rurale”</w:t>
      </w:r>
      <w:r w:rsidRPr="005653F2">
        <w:rPr>
          <w:rFonts w:ascii="Trebuchet MS" w:eastAsia="Calibri" w:hAnsi="Trebuchet MS" w:cstheme="minorHAnsi"/>
          <w:i/>
          <w:iCs/>
          <w:lang w:val="ro-RO"/>
        </w:rPr>
        <w:t xml:space="preserve">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Măsura contribuie la obiectivele transversale legate de inovare, de protecția mediului și de atenuarea schimbărilor climatice și de adaptarea la acestea, ale Reg. (UE) nr. 1305/2013.</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Inovarea consta în dezvoltarea unor servicii care sunt inexistente la nivelul teritoriului GAL. Măsura urmăreşte identificarea unor soluții practice, viabile, inovative de a răspunde problemelor identificate, bazate pe valorificarea de bune practici la nivel național. De asemenea, pentru a combate riscul excluziunii sociale, proiectele vor avea obligatoriu componente care să combată segregarea, precum încurajarea participării întregii comunități la activitățile din cadrul proiectului.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Măsura contribuie la obiectivul transversal Mediu şi atenuarea şi adaptarea la schimbările climatice prin încurajarea unor proiecte a care să aibă un impact cât mai scăzut asupra mediului înconjurător (dotarea clădirilor cu sisteme care utilizează energie regenerabilă, </w:t>
      </w:r>
      <w:r w:rsidRPr="005653F2">
        <w:rPr>
          <w:rFonts w:ascii="Trebuchet MS" w:eastAsia="Calibri" w:hAnsi="Trebuchet MS" w:cstheme="minorHAnsi"/>
          <w:lang w:val="ro-RO"/>
        </w:rPr>
        <w:lastRenderedPageBreak/>
        <w:t>un management corespunzător al deșeurilor, utilizarea unor materiale corespunzătoare și prietenoase cu mediul înconjurător).</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Măsura M6/6B este complementara cu M7/6B deoarece beneficiarii direcţi ai acestei măsuri şi anume populaţia rurală, sunt incluşi în categoria de beneficiari ai măsurii M7/6B.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Măsura M6/6B este în sinergie cu măsurile M7/6B şi M8/6A, toate cele trei măsuri contribuind la prioritatea P6.</w:t>
      </w:r>
    </w:p>
    <w:p w:rsidR="004A6D9C" w:rsidRPr="005653F2" w:rsidRDefault="004A6D9C" w:rsidP="005653F2">
      <w:pPr>
        <w:numPr>
          <w:ilvl w:val="0"/>
          <w:numId w:val="42"/>
        </w:numPr>
        <w:tabs>
          <w:tab w:val="left" w:pos="27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Valoarea adăugată a măsurii </w:t>
      </w:r>
    </w:p>
    <w:p w:rsidR="004A6D9C" w:rsidRPr="005653F2" w:rsidRDefault="004A6D9C" w:rsidP="005653F2">
      <w:pPr>
        <w:tabs>
          <w:tab w:val="left" w:pos="27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Măsura propusa generează valoare adăugată prin noutatea investiţiei derulate la nivelul regiunii GAL “De la Sâi la Călmăţui”. Măsura urmăreşte o metodă integrată, adresându-se mai multor componente ale comunităţii. Implementarea acestei măsuri va avea rezultate pozitive, nu numai din punct de vedere umanitar, ci şi din punct de vedere al inserţiei pe piaţa muncii.  În acelaşi timp, prin activităţile derulate se vă îmbunătăţii codul de conduită al grupului ţinta (persoanele de etnie romă), iar metodele de lucru se vor diversifica. Succesul acestei iniţiative şi impactul proiectelor asupra grupurilor tinta vizate, va permite după f</w:t>
      </w:r>
      <w:bookmarkStart w:id="0" w:name="_GoBack"/>
      <w:bookmarkEnd w:id="0"/>
      <w:r w:rsidRPr="005653F2">
        <w:rPr>
          <w:rFonts w:ascii="Trebuchet MS" w:eastAsia="Calibri" w:hAnsi="Trebuchet MS" w:cstheme="minorHAnsi"/>
          <w:lang w:val="ro-RO"/>
        </w:rPr>
        <w:t>inalizarea acestora, continuarea şi dezvoltarea unor iniţiative similare pe un grup tinta extins numeric, precum şi pe ale grupuri vulnerabile.</w:t>
      </w:r>
    </w:p>
    <w:p w:rsidR="004A6D9C" w:rsidRPr="005653F2" w:rsidRDefault="004A6D9C" w:rsidP="005653F2">
      <w:pPr>
        <w:numPr>
          <w:ilvl w:val="0"/>
          <w:numId w:val="42"/>
        </w:numPr>
        <w:tabs>
          <w:tab w:val="left" w:pos="360"/>
          <w:tab w:val="left" w:pos="1170"/>
        </w:tabs>
        <w:autoSpaceDE w:val="0"/>
        <w:autoSpaceDN w:val="0"/>
        <w:adjustRightInd w:val="0"/>
        <w:spacing w:after="0" w:line="276" w:lineRule="auto"/>
        <w:ind w:firstLine="0"/>
        <w:jc w:val="both"/>
        <w:rPr>
          <w:rFonts w:ascii="Trebuchet MS" w:eastAsia="Calibri" w:hAnsi="Trebuchet MS" w:cstheme="minorHAnsi"/>
          <w:lang w:val="ro-RO"/>
        </w:rPr>
      </w:pPr>
      <w:r w:rsidRPr="005653F2">
        <w:rPr>
          <w:rFonts w:ascii="Trebuchet MS" w:eastAsia="Calibri" w:hAnsi="Trebuchet MS" w:cstheme="minorHAnsi"/>
          <w:b/>
          <w:bCs/>
          <w:lang w:val="ro-RO"/>
        </w:rPr>
        <w:t xml:space="preserve">Trimiteri la alte acte legislative: </w:t>
      </w:r>
      <w:r w:rsidRPr="005653F2">
        <w:rPr>
          <w:rFonts w:ascii="Trebuchet MS" w:eastAsia="Calibri" w:hAnsi="Trebuchet MS" w:cstheme="minorHAnsi"/>
          <w:lang w:val="ro-RO"/>
        </w:rPr>
        <w:t>Reg. (UE) nr. 1303/2013, Reg. (UE) nr. 1305/2013, Reg. (UE) nr. 807/2014, Reg. (UE) nr. 1407/2013; Legea nr. 292/2011, Legea nr. 219/2015, Legea nr. 215/2001, HG nr. 26/2000.</w:t>
      </w:r>
    </w:p>
    <w:p w:rsidR="004A6D9C" w:rsidRPr="005653F2" w:rsidRDefault="004A6D9C" w:rsidP="005653F2">
      <w:pPr>
        <w:numPr>
          <w:ilvl w:val="0"/>
          <w:numId w:val="42"/>
        </w:numPr>
        <w:tabs>
          <w:tab w:val="left" w:pos="36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Beneficiari direcți/indirecți (grup țintă)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Beneficiarii direcţi ai acestei măsuri sunt: autorităţile locale și asociațiile acestora, definite conform legislației în vigoare; autorităţile locale, în parteneriat cu actorii sociali relevanţi; furnizori de servicii sociale în condiţiile legii; ONG-uri definite conform legislaţiei în vigoare; GAL-ul.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Beneficiarii indirecţi ai acestei măsuri sunt persoanele defavorizate, afectată de sărăcie şi de excluziune social, inclusiv persoanele aparținând minorității roma. </w:t>
      </w:r>
    </w:p>
    <w:p w:rsidR="004A6D9C" w:rsidRPr="005653F2" w:rsidRDefault="004A6D9C" w:rsidP="005653F2">
      <w:pPr>
        <w:numPr>
          <w:ilvl w:val="0"/>
          <w:numId w:val="42"/>
        </w:numPr>
        <w:tabs>
          <w:tab w:val="left" w:pos="270"/>
        </w:tabs>
        <w:autoSpaceDE w:val="0"/>
        <w:autoSpaceDN w:val="0"/>
        <w:adjustRightInd w:val="0"/>
        <w:spacing w:after="0" w:line="276" w:lineRule="auto"/>
        <w:ind w:firstLine="0"/>
        <w:jc w:val="both"/>
        <w:rPr>
          <w:rFonts w:ascii="Trebuchet MS" w:eastAsia="Calibri" w:hAnsi="Trebuchet MS" w:cstheme="minorHAnsi"/>
          <w:lang w:val="ro-RO"/>
        </w:rPr>
      </w:pPr>
      <w:r w:rsidRPr="005653F2">
        <w:rPr>
          <w:rFonts w:ascii="Trebuchet MS" w:eastAsia="Calibri" w:hAnsi="Trebuchet MS" w:cstheme="minorHAnsi"/>
          <w:b/>
          <w:bCs/>
          <w:lang w:val="ro-RO"/>
        </w:rPr>
        <w:t xml:space="preserve">Tip de sprijin: </w:t>
      </w:r>
      <w:r w:rsidRPr="005653F2">
        <w:rPr>
          <w:rFonts w:ascii="Trebuchet MS" w:eastAsia="Calibri" w:hAnsi="Trebuchet MS" w:cstheme="minorHAnsi"/>
          <w:lang w:val="ro-RO"/>
        </w:rPr>
        <w:t xml:space="preserve">rambursarea costurilor eligibile suportate și plătite efectiv; </w:t>
      </w:r>
      <w:bookmarkStart w:id="1" w:name="_Hlk482193939"/>
      <w:r w:rsidRPr="005653F2">
        <w:rPr>
          <w:rFonts w:ascii="Trebuchet MS" w:eastAsia="Calibri" w:hAnsi="Trebuchet MS" w:cstheme="minorHAnsi"/>
          <w:lang w:val="ro-RO"/>
        </w:rPr>
        <w:t>plăți în avans, cu condiția constituirii unei garanții bancare sau a unei garanții echivalente corespunzătoare procentului de 100 % din valoarea avansului, în conformitate cu art. 45 (4) și art. 63 ale Reg. (UE) nr. 1305/2013</w:t>
      </w:r>
      <w:bookmarkEnd w:id="1"/>
      <w:r w:rsidRPr="005653F2">
        <w:rPr>
          <w:rFonts w:ascii="Trebuchet MS" w:eastAsia="Calibri" w:hAnsi="Trebuchet MS" w:cstheme="minorHAnsi"/>
          <w:lang w:val="ro-RO"/>
        </w:rPr>
        <w:t>.</w:t>
      </w:r>
    </w:p>
    <w:p w:rsidR="004A6D9C" w:rsidRPr="005653F2" w:rsidRDefault="004A6D9C" w:rsidP="005653F2">
      <w:pPr>
        <w:numPr>
          <w:ilvl w:val="0"/>
          <w:numId w:val="42"/>
        </w:numPr>
        <w:tabs>
          <w:tab w:val="left" w:pos="36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Tipuri de acțiuni eligibile și neeligibile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Acțiuni eligibile aferente acestei măsuri sunt înfiinţare şi dotarea infrastructurii aferente serviciilor sociale pentru categoriile defavorizate, de tipul:</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-Centre pentru prevenirea și combaterea sărăciei și riscului de excluziune socială (Centre de zi pentru asistență și suport pentru alte persoane aflate în situații de nevoie; Centre de zi de integrare/ reintegrare socială, cantină, școală după școală etc.);</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-Centre pentru persoane vârstnice (Centre de zi pentru persoane vârstnice; Centre de zi de socializare și petrecerea timpului liber (tip club) etc.);</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Centre pentru copii și familie (Centre de zi pentru copii: copii în familie, copii separați sau în risc de separare de părinți; consiliere și sprijin pentru copii și părinți, Centre de zi pentru dezvoltarea deprinderilor de viață, etc.);</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-Centre pentru persoane cu dizabilități;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-Centre de servicii integrate (sociale, medicale, informare, consiliere, educație, formare profesională, ocupare pe piața muncii);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Aceste centre trebuie să se adreseze şi comunităţilor marginalizate în care există persoane aparţinând minorităţii rome prin măsuri în domeniul combaterii discriminării sau a </w:t>
      </w:r>
      <w:r w:rsidRPr="005653F2">
        <w:rPr>
          <w:rFonts w:ascii="Trebuchet MS" w:eastAsia="Calibri" w:hAnsi="Trebuchet MS" w:cstheme="minorHAnsi"/>
          <w:lang w:val="ro-RO"/>
        </w:rPr>
        <w:lastRenderedPageBreak/>
        <w:t>segregării (prin promovarea multiculturalismului, adresate, în egală măsură, etnicilor romi, cât și non-romi).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bookmarkStart w:id="2" w:name="_Hlk482194005"/>
      <w:bookmarkStart w:id="3" w:name="_Hlk513291792"/>
      <w:r w:rsidRPr="005653F2">
        <w:rPr>
          <w:rFonts w:ascii="Trebuchet MS" w:eastAsia="Calibri" w:hAnsi="Trebuchet MS" w:cstheme="minorHAnsi"/>
          <w:lang w:val="ro-RO"/>
        </w:rPr>
        <w:t xml:space="preserve">Cheltuieli eligibile: constructia/modernizarea/extinderea/dotarea cladirilor. </w:t>
      </w:r>
      <w:bookmarkEnd w:id="2"/>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bookmarkStart w:id="4" w:name="_Hlk513291857"/>
      <w:bookmarkEnd w:id="3"/>
      <w:r w:rsidRPr="005653F2">
        <w:rPr>
          <w:rFonts w:ascii="Trebuchet MS" w:eastAsia="Calibri" w:hAnsi="Trebuchet MS" w:cstheme="minorHAnsi"/>
          <w:lang w:val="ro-RO"/>
        </w:rPr>
        <w:t>Acțiuni neeligibile sunt proiectele generatoare de venituri, cu excepția celor de utilitate publică. Entitățile private pot implementa proiecte, însă rezultatul acestora nu poate genera venit.</w:t>
      </w:r>
    </w:p>
    <w:bookmarkEnd w:id="4"/>
    <w:p w:rsidR="004A6D9C" w:rsidRPr="005653F2" w:rsidRDefault="004A6D9C" w:rsidP="005653F2">
      <w:pPr>
        <w:numPr>
          <w:ilvl w:val="0"/>
          <w:numId w:val="42"/>
        </w:numPr>
        <w:tabs>
          <w:tab w:val="left" w:pos="360"/>
          <w:tab w:val="left" w:pos="117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Condiții de eligibilitate </w:t>
      </w:r>
    </w:p>
    <w:p w:rsidR="004A6D9C" w:rsidRPr="005653F2" w:rsidRDefault="004A6D9C" w:rsidP="005653F2">
      <w:pPr>
        <w:tabs>
          <w:tab w:val="left" w:pos="360"/>
          <w:tab w:val="left" w:pos="81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Solicitanţii pe aceasta măsura trebuie să respecte următoarele condiţii de eligibilitate: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bookmarkStart w:id="5" w:name="_Hlk482194050"/>
      <w:r w:rsidRPr="005653F2">
        <w:rPr>
          <w:rFonts w:ascii="Trebuchet MS" w:eastAsia="Calibri" w:hAnsi="Trebuchet MS" w:cstheme="minorHAnsi"/>
          <w:lang w:val="ro-RO"/>
        </w:rPr>
        <w:t>- Solicitantul nu a mai depus acelaşi proiect în cadrul aceleiasi masuri din PNDR;</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Solicitantul s-a angajat să respecte prevederile art. 6 lit. a, din H.G. Nr.226/2015 privind stabilirea cadrului general de implementare a măsurilor Programului Naţional de Dezvoltare Rurală cofinanţate din Fondul European Agricol pentru Dezvoltare Rurală şi de la bugetul de stat cu modificarile si completarile ulterioare;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w:t>
      </w:r>
      <w:bookmarkStart w:id="6" w:name="_Hlk482194471"/>
      <w:r w:rsidRPr="005653F2">
        <w:rPr>
          <w:rFonts w:ascii="Trebuchet MS" w:eastAsia="Calibri" w:hAnsi="Trebuchet MS" w:cstheme="minorHAnsi"/>
          <w:lang w:val="ro-RO"/>
        </w:rPr>
        <w:t>Solicitantul să se încadreze în categoria beneficiarilor eligibili şi are sediul social sau punct de lucru pe teritoriul GAL „</w:t>
      </w:r>
      <w:bookmarkStart w:id="7" w:name="_Hlk513291328"/>
      <w:r w:rsidRPr="005653F2">
        <w:rPr>
          <w:rFonts w:ascii="Trebuchet MS" w:eastAsia="Calibri" w:hAnsi="Trebuchet MS" w:cstheme="minorHAnsi"/>
          <w:lang w:val="ro-RO"/>
        </w:rPr>
        <w:t>De la Sâi la Călmăţui</w:t>
      </w:r>
      <w:bookmarkEnd w:id="7"/>
      <w:r w:rsidRPr="005653F2">
        <w:rPr>
          <w:rFonts w:ascii="Trebuchet MS" w:eastAsia="Calibri" w:hAnsi="Trebuchet MS" w:cstheme="minorHAnsi"/>
          <w:lang w:val="ro-RO"/>
        </w:rPr>
        <w:t>”;</w:t>
      </w:r>
      <w:bookmarkEnd w:id="6"/>
    </w:p>
    <w:bookmarkEnd w:id="5"/>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-Proiectul trebuie să demonstreze oportunitatea și necesitatea socio-economică a investiției;</w:t>
      </w:r>
    </w:p>
    <w:p w:rsidR="007E6140"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-Solicitantul se angajează să asigure întreținerea/mentenanța investiției;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w:t>
      </w:r>
      <w:bookmarkStart w:id="8" w:name="_Hlk513291360"/>
      <w:r w:rsidRPr="005653F2">
        <w:rPr>
          <w:rFonts w:ascii="Trebuchet MS" w:eastAsia="Calibri" w:hAnsi="Trebuchet MS" w:cstheme="minorHAnsi"/>
          <w:lang w:val="ro-RO"/>
        </w:rPr>
        <w:t>Investiția să se încadreze în tipul de sprijin prevăzut prin măsură</w:t>
      </w:r>
      <w:bookmarkEnd w:id="8"/>
      <w:r w:rsidRPr="005653F2">
        <w:rPr>
          <w:rFonts w:ascii="Trebuchet MS" w:eastAsia="Calibri" w:hAnsi="Trebuchet MS" w:cstheme="minorHAnsi"/>
          <w:lang w:val="ro-RO"/>
        </w:rPr>
        <w:t>;</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-Investiția să se realizeze în teritoriul GAL „De la Sâi la Călmăţui”;</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w:t>
      </w:r>
      <w:bookmarkStart w:id="9" w:name="_Hlk482194502"/>
      <w:r w:rsidRPr="005653F2">
        <w:rPr>
          <w:rFonts w:ascii="Trebuchet MS" w:eastAsia="Calibri" w:hAnsi="Trebuchet MS" w:cstheme="minorHAnsi"/>
          <w:lang w:val="ro-RO"/>
        </w:rPr>
        <w:t>Investiția trebuie să fie în corelare cu strategia de dezvoltară locală și/sau județeană/ națională/ regională aprobată;</w:t>
      </w:r>
      <w:bookmarkEnd w:id="9"/>
    </w:p>
    <w:p w:rsidR="004A6D9C" w:rsidRPr="005653F2" w:rsidRDefault="004A6D9C" w:rsidP="005653F2">
      <w:pPr>
        <w:tabs>
          <w:tab w:val="left" w:pos="18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w:t>
      </w:r>
      <w:bookmarkStart w:id="10" w:name="_Hlk513291601"/>
      <w:r w:rsidRPr="005653F2">
        <w:rPr>
          <w:rFonts w:ascii="Trebuchet MS" w:eastAsia="Calibri" w:hAnsi="Trebuchet MS" w:cstheme="minorHAnsi"/>
          <w:lang w:val="ro-RO"/>
        </w:rPr>
        <w:t>Proiecte nu trebuie să genereze sau să perpetueze segregarea</w:t>
      </w:r>
      <w:bookmarkEnd w:id="10"/>
      <w:r w:rsidRPr="005653F2">
        <w:rPr>
          <w:rFonts w:ascii="Trebuchet MS" w:eastAsia="Calibri" w:hAnsi="Trebuchet MS" w:cstheme="minorHAnsi"/>
          <w:lang w:val="ro-RO"/>
        </w:rPr>
        <w:t>;</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-Beneficiarul trebuie să prezinte toate avizele şi autorizaţiile necesare investiţiei;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-Investiţia să respecte Planul Urbanistic General (judeţean sau local);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-Solicitantul nu trebuie să fie în insolvență sau în incapacitate de plată;</w:t>
      </w:r>
    </w:p>
    <w:p w:rsidR="004A6D9C" w:rsidRPr="005653F2" w:rsidRDefault="004A6D9C" w:rsidP="005653F2">
      <w:pPr>
        <w:numPr>
          <w:ilvl w:val="0"/>
          <w:numId w:val="42"/>
        </w:numPr>
        <w:tabs>
          <w:tab w:val="left" w:pos="360"/>
          <w:tab w:val="left" w:pos="117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Criterii de selecție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-Principiul gradului de acoperire a populației deservite;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-Proiecte realizate în parteneriat;</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-Proiecte cu impact micro-regional;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-Proiecte care promovează tehnologii/procese inovative;</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-Proiecte care promovează tehnologii prietenoase cu mediu</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-Proiecte din comune cu grad de sărăcie ridicat;</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-Proiecte integrate de investiţii;</w:t>
      </w:r>
    </w:p>
    <w:p w:rsidR="004A6D9C" w:rsidRPr="005653F2" w:rsidRDefault="004A6D9C" w:rsidP="005653F2">
      <w:pPr>
        <w:tabs>
          <w:tab w:val="left" w:pos="18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 xml:space="preserve">-Sustenabilitate (acest criteriu se referă la identificarea unor surse de finanţare pentru continuarea activității după finalizarea proiectului. Pot fi fie surse proprii, fie surse atrase. </w:t>
      </w:r>
    </w:p>
    <w:p w:rsidR="004A6D9C" w:rsidRPr="005653F2" w:rsidRDefault="004A6D9C" w:rsidP="005653F2">
      <w:pPr>
        <w:tabs>
          <w:tab w:val="left" w:pos="18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Se poate lua în considerare Programul Operaţional Capital Uman 2014-2020, Obiectivul Specific 5.2);</w:t>
      </w:r>
    </w:p>
    <w:p w:rsidR="004A6D9C" w:rsidRPr="005653F2" w:rsidRDefault="004A6D9C" w:rsidP="005653F2">
      <w:pPr>
        <w:tabs>
          <w:tab w:val="left" w:pos="180"/>
        </w:tabs>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-Crearea de noi locuri de muncă;</w:t>
      </w:r>
    </w:p>
    <w:p w:rsidR="004A6D9C" w:rsidRPr="005653F2" w:rsidRDefault="004A6D9C" w:rsidP="005653F2">
      <w:pPr>
        <w:numPr>
          <w:ilvl w:val="0"/>
          <w:numId w:val="42"/>
        </w:numPr>
        <w:tabs>
          <w:tab w:val="clear" w:pos="1065"/>
          <w:tab w:val="left" w:pos="270"/>
          <w:tab w:val="left" w:pos="450"/>
          <w:tab w:val="left" w:pos="108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Sume (aplicabile) și rata sprijinului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Intensitatea sprijinului va fi de 100%. Valoarea proiectelor poate fi cuprinsă între 5.000 – 100.000 Euro.</w:t>
      </w:r>
    </w:p>
    <w:p w:rsidR="004A6D9C" w:rsidRPr="005653F2" w:rsidRDefault="004A6D9C" w:rsidP="005653F2">
      <w:pPr>
        <w:numPr>
          <w:ilvl w:val="0"/>
          <w:numId w:val="42"/>
        </w:numPr>
        <w:tabs>
          <w:tab w:val="left" w:pos="360"/>
        </w:tabs>
        <w:autoSpaceDE w:val="0"/>
        <w:autoSpaceDN w:val="0"/>
        <w:adjustRightInd w:val="0"/>
        <w:spacing w:after="0" w:line="276" w:lineRule="auto"/>
        <w:ind w:firstLine="0"/>
        <w:jc w:val="both"/>
        <w:rPr>
          <w:rFonts w:ascii="Trebuchet MS" w:eastAsia="Calibri" w:hAnsi="Trebuchet MS" w:cstheme="minorHAnsi"/>
          <w:b/>
          <w:bCs/>
          <w:lang w:val="ro-RO"/>
        </w:rPr>
      </w:pPr>
      <w:r w:rsidRPr="005653F2">
        <w:rPr>
          <w:rFonts w:ascii="Trebuchet MS" w:eastAsia="Calibri" w:hAnsi="Trebuchet MS" w:cstheme="minorHAnsi"/>
          <w:b/>
          <w:bCs/>
          <w:lang w:val="ro-RO"/>
        </w:rPr>
        <w:t xml:space="preserve">Indicatori de monitorizare </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-Populaţia netă care beneficiază de servicii/infrastructuri îmbunătăţite: 300;</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-Populaţia netă ai comunităţii rome sprijinită: 100;</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lastRenderedPageBreak/>
        <w:t>-Număr de proiecte sprijinite: 1</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-Număr de locuri de muncă nou create: 1;</w:t>
      </w:r>
    </w:p>
    <w:p w:rsidR="004A6D9C" w:rsidRPr="005653F2" w:rsidRDefault="004A6D9C" w:rsidP="005653F2">
      <w:pPr>
        <w:autoSpaceDE w:val="0"/>
        <w:autoSpaceDN w:val="0"/>
        <w:adjustRightInd w:val="0"/>
        <w:spacing w:after="0" w:line="276" w:lineRule="auto"/>
        <w:jc w:val="both"/>
        <w:rPr>
          <w:rFonts w:ascii="Trebuchet MS" w:eastAsia="Calibri" w:hAnsi="Trebuchet MS" w:cstheme="minorHAnsi"/>
          <w:lang w:val="ro-RO"/>
        </w:rPr>
      </w:pPr>
      <w:r w:rsidRPr="005653F2">
        <w:rPr>
          <w:rFonts w:ascii="Trebuchet MS" w:eastAsia="Calibri" w:hAnsi="Trebuchet MS" w:cstheme="minorHAnsi"/>
          <w:lang w:val="ro-RO"/>
        </w:rPr>
        <w:t>-Număr de proiecte inovative: 1;</w:t>
      </w:r>
    </w:p>
    <w:p w:rsidR="004A6D9C" w:rsidRPr="005653F2" w:rsidRDefault="004A6D9C" w:rsidP="005653F2">
      <w:pPr>
        <w:autoSpaceDE w:val="0"/>
        <w:autoSpaceDN w:val="0"/>
        <w:adjustRightInd w:val="0"/>
        <w:spacing w:after="195" w:line="276" w:lineRule="auto"/>
        <w:rPr>
          <w:rFonts w:ascii="Trebuchet MS" w:eastAsia="Calibri" w:hAnsi="Trebuchet MS" w:cstheme="minorHAnsi"/>
          <w:lang w:val="ro-RO"/>
        </w:rPr>
      </w:pPr>
      <w:r w:rsidRPr="005653F2">
        <w:rPr>
          <w:rFonts w:ascii="Trebuchet MS" w:eastAsia="Calibri" w:hAnsi="Trebuchet MS" w:cstheme="minorHAnsi"/>
          <w:lang w:val="ro-RO"/>
        </w:rPr>
        <w:t>-Număr de proiecte care promovează principiile protecţiei mediului: 1.</w:t>
      </w:r>
    </w:p>
    <w:p w:rsidR="00A968F2" w:rsidRPr="005653F2" w:rsidRDefault="00A968F2" w:rsidP="005653F2">
      <w:pPr>
        <w:autoSpaceDE w:val="0"/>
        <w:autoSpaceDN w:val="0"/>
        <w:adjustRightInd w:val="0"/>
        <w:spacing w:after="0" w:line="276" w:lineRule="auto"/>
        <w:jc w:val="both"/>
        <w:rPr>
          <w:rFonts w:ascii="Trebuchet MS" w:hAnsi="Trebuchet MS"/>
          <w:lang w:val="ro-RO"/>
        </w:rPr>
      </w:pPr>
    </w:p>
    <w:sectPr w:rsidR="00A968F2" w:rsidRPr="005653F2" w:rsidSect="00C44F7C">
      <w:headerReference w:type="default" r:id="rId8"/>
      <w:pgSz w:w="11906" w:h="16838"/>
      <w:pgMar w:top="993" w:right="1440" w:bottom="1440" w:left="1440"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510" w:rsidRDefault="00B57510" w:rsidP="00995A4D">
      <w:pPr>
        <w:spacing w:after="0" w:line="240" w:lineRule="auto"/>
      </w:pPr>
      <w:r>
        <w:separator/>
      </w:r>
    </w:p>
  </w:endnote>
  <w:endnote w:type="continuationSeparator" w:id="0">
    <w:p w:rsidR="00B57510" w:rsidRDefault="00B57510" w:rsidP="00995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510" w:rsidRDefault="00B57510" w:rsidP="00995A4D">
      <w:pPr>
        <w:spacing w:after="0" w:line="240" w:lineRule="auto"/>
      </w:pPr>
      <w:r>
        <w:separator/>
      </w:r>
    </w:p>
  </w:footnote>
  <w:footnote w:type="continuationSeparator" w:id="0">
    <w:p w:rsidR="00B57510" w:rsidRDefault="00B57510" w:rsidP="00995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5A4D" w:rsidRPr="00474698" w:rsidRDefault="00995A4D" w:rsidP="00995A4D">
    <w:pPr>
      <w:spacing w:after="0" w:line="240" w:lineRule="auto"/>
      <w:rPr>
        <w:rFonts w:ascii="Times New Roman" w:hAnsi="Times New Roman"/>
        <w:noProof/>
        <w:sz w:val="24"/>
        <w:szCs w:val="24"/>
        <w:lang w:val="ro-RO" w:eastAsia="ro-RO"/>
      </w:rPr>
    </w:pPr>
    <w:r w:rsidRPr="00692332">
      <w:rPr>
        <w:rFonts w:eastAsia="Calibri"/>
        <w:b/>
        <w:noProof/>
        <w:lang w:val="ro-RO"/>
      </w:rPr>
      <w:t xml:space="preserve"> </w:t>
    </w:r>
    <w:r w:rsidR="00AE04E6">
      <w:rPr>
        <w:rFonts w:eastAsia="Calibri"/>
        <w:b/>
        <w:noProof/>
        <w:lang w:val="ro-RO"/>
      </w:rPr>
      <w:t xml:space="preserve">   </w:t>
    </w:r>
    <w:r w:rsidRPr="00F929B0">
      <w:rPr>
        <w:rFonts w:ascii="Times New Roman" w:hAnsi="Times New Roman"/>
        <w:noProof/>
        <w:sz w:val="24"/>
        <w:szCs w:val="24"/>
      </w:rPr>
      <w:drawing>
        <wp:anchor distT="0" distB="0" distL="114300" distR="114300" simplePos="0" relativeHeight="251659264" behindDoc="1" locked="0" layoutInCell="1" allowOverlap="1" wp14:anchorId="788A71D1" wp14:editId="723D5130">
          <wp:simplePos x="0" y="0"/>
          <wp:positionH relativeFrom="column">
            <wp:posOffset>4781550</wp:posOffset>
          </wp:positionH>
          <wp:positionV relativeFrom="paragraph">
            <wp:posOffset>72390</wp:posOffset>
          </wp:positionV>
          <wp:extent cx="1276985" cy="590550"/>
          <wp:effectExtent l="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9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35609ECA" wp14:editId="56B88B11">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2"/>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00BBE34C" wp14:editId="430B7F19">
          <wp:extent cx="836930" cy="551815"/>
          <wp:effectExtent l="19050" t="0" r="1270" b="0"/>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srcRect/>
                  <a:stretch>
                    <a:fillRect/>
                  </a:stretch>
                </pic:blipFill>
                <pic:spPr bwMode="auto">
                  <a:xfrm>
                    <a:off x="0" y="0"/>
                    <a:ext cx="836930" cy="551815"/>
                  </a:xfrm>
                  <a:prstGeom prst="rect">
                    <a:avLst/>
                  </a:prstGeom>
                  <a:noFill/>
                  <a:ln w="9525">
                    <a:noFill/>
                    <a:miter lim="800000"/>
                    <a:headEnd/>
                    <a:tailEnd/>
                  </a:ln>
                </pic:spPr>
              </pic:pic>
            </a:graphicData>
          </a:graphic>
        </wp:inline>
      </w:drawing>
    </w:r>
    <w:r w:rsidRPr="00474698">
      <w:rPr>
        <w:rFonts w:ascii="Times New Roman" w:hAnsi="Times New Roman"/>
        <w:noProof/>
        <w:sz w:val="24"/>
        <w:szCs w:val="24"/>
        <w:lang w:val="ro-RO" w:eastAsia="ro-RO"/>
      </w:rPr>
      <w:t xml:space="preserve">              </w:t>
    </w:r>
    <w:r>
      <w:rPr>
        <w:rFonts w:ascii="Times New Roman" w:hAnsi="Times New Roman"/>
        <w:noProof/>
        <w:sz w:val="24"/>
        <w:szCs w:val="24"/>
      </w:rPr>
      <w:drawing>
        <wp:inline distT="0" distB="0" distL="0" distR="0" wp14:anchorId="2B17CD88" wp14:editId="4B34AB7A">
          <wp:extent cx="802005" cy="543560"/>
          <wp:effectExtent l="19050" t="0" r="0" b="0"/>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4"/>
                  <a:srcRect/>
                  <a:stretch>
                    <a:fillRect/>
                  </a:stretch>
                </pic:blipFill>
                <pic:spPr bwMode="auto">
                  <a:xfrm>
                    <a:off x="0" y="0"/>
                    <a:ext cx="802005" cy="543560"/>
                  </a:xfrm>
                  <a:prstGeom prst="rect">
                    <a:avLst/>
                  </a:prstGeom>
                  <a:noFill/>
                  <a:ln w="9525">
                    <a:noFill/>
                    <a:miter lim="800000"/>
                    <a:headEnd/>
                    <a:tailEnd/>
                  </a:ln>
                </pic:spPr>
              </pic:pic>
            </a:graphicData>
          </a:graphic>
        </wp:inline>
      </w:drawing>
    </w:r>
    <w:r>
      <w:rPr>
        <w:rFonts w:ascii="Times New Roman" w:hAnsi="Times New Roman"/>
        <w:noProof/>
        <w:sz w:val="24"/>
        <w:szCs w:val="24"/>
        <w:lang w:val="ro-RO" w:eastAsia="ro-RO"/>
      </w:rPr>
      <w:t xml:space="preserve">             </w:t>
    </w:r>
  </w:p>
  <w:p w:rsidR="00995A4D" w:rsidRPr="008866A9" w:rsidRDefault="00995A4D" w:rsidP="00995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2B4"/>
    <w:multiLevelType w:val="hybridMultilevel"/>
    <w:tmpl w:val="F66AC79E"/>
    <w:lvl w:ilvl="0" w:tplc="04180005">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 w15:restartNumberingAfterBreak="0">
    <w:nsid w:val="00F43D13"/>
    <w:multiLevelType w:val="multilevel"/>
    <w:tmpl w:val="00F43D1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971A1D"/>
    <w:multiLevelType w:val="hybridMultilevel"/>
    <w:tmpl w:val="EFAE82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28F77D5"/>
    <w:multiLevelType w:val="multilevel"/>
    <w:tmpl w:val="8B34AEF6"/>
    <w:lvl w:ilvl="0">
      <w:start w:val="1"/>
      <w:numFmt w:val="decimal"/>
      <w:lvlText w:val="%1."/>
      <w:lvlJc w:val="left"/>
      <w:pPr>
        <w:tabs>
          <w:tab w:val="num" w:pos="450"/>
        </w:tabs>
        <w:ind w:left="450" w:hanging="360"/>
      </w:pPr>
      <w:rPr>
        <w:rFonts w:ascii="Trebuchet MS" w:hAnsi="Trebuchet MS" w:cs="Times New Roman" w:hint="default"/>
        <w:b/>
        <w:bCs/>
        <w:sz w:val="22"/>
        <w:szCs w:val="22"/>
      </w:rPr>
    </w:lvl>
    <w:lvl w:ilvl="1">
      <w:start w:val="7"/>
      <w:numFmt w:val="decimal"/>
      <w:lvlText w:val="%1.%2."/>
      <w:lvlJc w:val="left"/>
      <w:pPr>
        <w:tabs>
          <w:tab w:val="num" w:pos="345"/>
        </w:tabs>
        <w:ind w:left="345" w:hanging="360"/>
      </w:pPr>
      <w:rPr>
        <w:rFonts w:ascii="Trebuchet MS" w:hAnsi="Trebuchet MS" w:cs="Times New Roman" w:hint="default"/>
        <w:sz w:val="22"/>
        <w:szCs w:val="22"/>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720"/>
        </w:tabs>
        <w:ind w:left="720" w:hanging="72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080"/>
        </w:tabs>
        <w:ind w:left="1080" w:hanging="108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440"/>
        </w:tabs>
        <w:ind w:left="1440" w:hanging="1440"/>
      </w:pPr>
      <w:rPr>
        <w:rFonts w:ascii="Times New Roman" w:hAnsi="Times New Roman" w:cs="Times New Roman"/>
        <w:sz w:val="24"/>
        <w:szCs w:val="24"/>
      </w:rPr>
    </w:lvl>
  </w:abstractNum>
  <w:abstractNum w:abstractNumId="4" w15:restartNumberingAfterBreak="0">
    <w:nsid w:val="0D5364F7"/>
    <w:multiLevelType w:val="hybridMultilevel"/>
    <w:tmpl w:val="31AE27C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42320B6"/>
    <w:multiLevelType w:val="multilevel"/>
    <w:tmpl w:val="0BC2A1BD"/>
    <w:lvl w:ilvl="0">
      <w:numFmt w:val="bullet"/>
      <w:lvlText w:val="·"/>
      <w:lvlJc w:val="left"/>
      <w:pPr>
        <w:tabs>
          <w:tab w:val="num" w:pos="240"/>
        </w:tabs>
        <w:ind w:left="240" w:hanging="240"/>
      </w:pPr>
      <w:rPr>
        <w:rFonts w:ascii="Symbol" w:hAnsi="Symbol" w:cs="Symbol"/>
        <w:sz w:val="22"/>
        <w:szCs w:val="22"/>
      </w:rPr>
    </w:lvl>
    <w:lvl w:ilvl="1">
      <w:numFmt w:val="bullet"/>
      <w:lvlText w:val="o"/>
      <w:lvlJc w:val="left"/>
      <w:pPr>
        <w:tabs>
          <w:tab w:val="num" w:pos="1500"/>
        </w:tabs>
        <w:ind w:left="1500" w:hanging="360"/>
      </w:pPr>
      <w:rPr>
        <w:rFonts w:ascii="Courier New" w:hAnsi="Courier New" w:cs="Courier New"/>
        <w:sz w:val="24"/>
        <w:szCs w:val="24"/>
      </w:rPr>
    </w:lvl>
    <w:lvl w:ilvl="2">
      <w:numFmt w:val="bullet"/>
      <w:lvlText w:val="§"/>
      <w:lvlJc w:val="left"/>
      <w:pPr>
        <w:tabs>
          <w:tab w:val="num" w:pos="2220"/>
        </w:tabs>
        <w:ind w:left="2220" w:hanging="360"/>
      </w:pPr>
      <w:rPr>
        <w:rFonts w:ascii="Wingdings" w:hAnsi="Wingdings" w:cs="Wingdings"/>
        <w:sz w:val="24"/>
        <w:szCs w:val="24"/>
      </w:rPr>
    </w:lvl>
    <w:lvl w:ilvl="3">
      <w:numFmt w:val="bullet"/>
      <w:lvlText w:val="·"/>
      <w:lvlJc w:val="left"/>
      <w:pPr>
        <w:tabs>
          <w:tab w:val="num" w:pos="2940"/>
        </w:tabs>
        <w:ind w:left="2940" w:hanging="360"/>
      </w:pPr>
      <w:rPr>
        <w:rFonts w:ascii="Symbol" w:hAnsi="Symbol" w:cs="Symbol"/>
        <w:sz w:val="24"/>
        <w:szCs w:val="24"/>
      </w:rPr>
    </w:lvl>
    <w:lvl w:ilvl="4">
      <w:numFmt w:val="bullet"/>
      <w:lvlText w:val="o"/>
      <w:lvlJc w:val="left"/>
      <w:pPr>
        <w:tabs>
          <w:tab w:val="num" w:pos="3660"/>
        </w:tabs>
        <w:ind w:left="3660" w:hanging="360"/>
      </w:pPr>
      <w:rPr>
        <w:rFonts w:ascii="Courier New" w:hAnsi="Courier New" w:cs="Courier New"/>
        <w:sz w:val="24"/>
        <w:szCs w:val="24"/>
      </w:rPr>
    </w:lvl>
    <w:lvl w:ilvl="5">
      <w:numFmt w:val="bullet"/>
      <w:lvlText w:val="§"/>
      <w:lvlJc w:val="left"/>
      <w:pPr>
        <w:tabs>
          <w:tab w:val="num" w:pos="4380"/>
        </w:tabs>
        <w:ind w:left="4380" w:hanging="360"/>
      </w:pPr>
      <w:rPr>
        <w:rFonts w:ascii="Wingdings" w:hAnsi="Wingdings" w:cs="Wingdings"/>
        <w:sz w:val="24"/>
        <w:szCs w:val="24"/>
      </w:rPr>
    </w:lvl>
    <w:lvl w:ilvl="6">
      <w:numFmt w:val="bullet"/>
      <w:lvlText w:val="·"/>
      <w:lvlJc w:val="left"/>
      <w:pPr>
        <w:tabs>
          <w:tab w:val="num" w:pos="5100"/>
        </w:tabs>
        <w:ind w:left="5100" w:hanging="360"/>
      </w:pPr>
      <w:rPr>
        <w:rFonts w:ascii="Symbol" w:hAnsi="Symbol" w:cs="Symbol"/>
        <w:sz w:val="24"/>
        <w:szCs w:val="24"/>
      </w:rPr>
    </w:lvl>
    <w:lvl w:ilvl="7">
      <w:numFmt w:val="bullet"/>
      <w:lvlText w:val="o"/>
      <w:lvlJc w:val="left"/>
      <w:pPr>
        <w:tabs>
          <w:tab w:val="num" w:pos="5820"/>
        </w:tabs>
        <w:ind w:left="5820" w:hanging="360"/>
      </w:pPr>
      <w:rPr>
        <w:rFonts w:ascii="Courier New" w:hAnsi="Courier New" w:cs="Courier New"/>
        <w:sz w:val="24"/>
        <w:szCs w:val="24"/>
      </w:rPr>
    </w:lvl>
    <w:lvl w:ilvl="8">
      <w:numFmt w:val="bullet"/>
      <w:lvlText w:val="§"/>
      <w:lvlJc w:val="left"/>
      <w:pPr>
        <w:tabs>
          <w:tab w:val="num" w:pos="6540"/>
        </w:tabs>
        <w:ind w:left="6540" w:hanging="360"/>
      </w:pPr>
      <w:rPr>
        <w:rFonts w:ascii="Wingdings" w:hAnsi="Wingdings" w:cs="Wingdings"/>
        <w:sz w:val="24"/>
        <w:szCs w:val="24"/>
      </w:rPr>
    </w:lvl>
  </w:abstractNum>
  <w:abstractNum w:abstractNumId="6" w15:restartNumberingAfterBreak="0">
    <w:nsid w:val="159E7A53"/>
    <w:multiLevelType w:val="hybridMultilevel"/>
    <w:tmpl w:val="3714493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A9B62AD"/>
    <w:multiLevelType w:val="hybridMultilevel"/>
    <w:tmpl w:val="5122FA5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2D26E1"/>
    <w:multiLevelType w:val="hybridMultilevel"/>
    <w:tmpl w:val="7146F316"/>
    <w:lvl w:ilvl="0" w:tplc="20A016C8">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87197"/>
    <w:multiLevelType w:val="hybridMultilevel"/>
    <w:tmpl w:val="F8D249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D49FF4"/>
    <w:multiLevelType w:val="multilevel"/>
    <w:tmpl w:val="DDCC7578"/>
    <w:lvl w:ilvl="0">
      <w:start w:val="1"/>
      <w:numFmt w:val="upperLetter"/>
      <w:lvlText w:val="%1."/>
      <w:lvlJc w:val="left"/>
      <w:pPr>
        <w:tabs>
          <w:tab w:val="num" w:pos="270"/>
        </w:tabs>
        <w:ind w:left="270" w:hanging="270"/>
      </w:pPr>
      <w:rPr>
        <w:rFonts w:ascii="Trebuchet MS" w:hAnsi="Trebuchet MS" w:cs="Times New Roman" w:hint="default"/>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15:restartNumberingAfterBreak="0">
    <w:nsid w:val="20687735"/>
    <w:multiLevelType w:val="hybridMultilevel"/>
    <w:tmpl w:val="0B704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4F630"/>
    <w:multiLevelType w:val="multilevel"/>
    <w:tmpl w:val="75B8A46F"/>
    <w:lvl w:ilvl="0">
      <w:numFmt w:val="bullet"/>
      <w:lvlText w:val="·"/>
      <w:lvlJc w:val="left"/>
      <w:pPr>
        <w:tabs>
          <w:tab w:val="num" w:pos="0"/>
        </w:tabs>
        <w:ind w:hanging="15"/>
      </w:pPr>
      <w:rPr>
        <w:rFonts w:ascii="Symbol" w:hAnsi="Symbol" w:cs="Symbol"/>
        <w:sz w:val="22"/>
        <w:szCs w:val="22"/>
      </w:rPr>
    </w:lvl>
    <w:lvl w:ilvl="1">
      <w:numFmt w:val="bullet"/>
      <w:lvlText w:val="o"/>
      <w:lvlJc w:val="left"/>
      <w:pPr>
        <w:tabs>
          <w:tab w:val="num" w:pos="1530"/>
        </w:tabs>
        <w:ind w:left="1530" w:hanging="360"/>
      </w:pPr>
      <w:rPr>
        <w:rFonts w:ascii="Courier New" w:hAnsi="Courier New" w:cs="Courier New"/>
        <w:sz w:val="24"/>
        <w:szCs w:val="24"/>
      </w:rPr>
    </w:lvl>
    <w:lvl w:ilvl="2">
      <w:numFmt w:val="bullet"/>
      <w:lvlText w:val="§"/>
      <w:lvlJc w:val="left"/>
      <w:pPr>
        <w:tabs>
          <w:tab w:val="num" w:pos="2250"/>
        </w:tabs>
        <w:ind w:left="2250" w:hanging="360"/>
      </w:pPr>
      <w:rPr>
        <w:rFonts w:ascii="Wingdings" w:hAnsi="Wingdings" w:cs="Wingdings"/>
        <w:sz w:val="24"/>
        <w:szCs w:val="24"/>
      </w:rPr>
    </w:lvl>
    <w:lvl w:ilvl="3">
      <w:numFmt w:val="bullet"/>
      <w:lvlText w:val="·"/>
      <w:lvlJc w:val="left"/>
      <w:pPr>
        <w:tabs>
          <w:tab w:val="num" w:pos="2970"/>
        </w:tabs>
        <w:ind w:left="2970" w:hanging="360"/>
      </w:pPr>
      <w:rPr>
        <w:rFonts w:ascii="Symbol" w:hAnsi="Symbol" w:cs="Symbol"/>
        <w:sz w:val="24"/>
        <w:szCs w:val="24"/>
      </w:rPr>
    </w:lvl>
    <w:lvl w:ilvl="4">
      <w:numFmt w:val="bullet"/>
      <w:lvlText w:val="o"/>
      <w:lvlJc w:val="left"/>
      <w:pPr>
        <w:tabs>
          <w:tab w:val="num" w:pos="3690"/>
        </w:tabs>
        <w:ind w:left="3690" w:hanging="360"/>
      </w:pPr>
      <w:rPr>
        <w:rFonts w:ascii="Courier New" w:hAnsi="Courier New" w:cs="Courier New"/>
        <w:sz w:val="24"/>
        <w:szCs w:val="24"/>
      </w:rPr>
    </w:lvl>
    <w:lvl w:ilvl="5">
      <w:numFmt w:val="bullet"/>
      <w:lvlText w:val="§"/>
      <w:lvlJc w:val="left"/>
      <w:pPr>
        <w:tabs>
          <w:tab w:val="num" w:pos="4410"/>
        </w:tabs>
        <w:ind w:left="4410" w:hanging="360"/>
      </w:pPr>
      <w:rPr>
        <w:rFonts w:ascii="Wingdings" w:hAnsi="Wingdings" w:cs="Wingdings"/>
        <w:sz w:val="24"/>
        <w:szCs w:val="24"/>
      </w:rPr>
    </w:lvl>
    <w:lvl w:ilvl="6">
      <w:numFmt w:val="bullet"/>
      <w:lvlText w:val="·"/>
      <w:lvlJc w:val="left"/>
      <w:pPr>
        <w:tabs>
          <w:tab w:val="num" w:pos="5130"/>
        </w:tabs>
        <w:ind w:left="5130" w:hanging="360"/>
      </w:pPr>
      <w:rPr>
        <w:rFonts w:ascii="Symbol" w:hAnsi="Symbol" w:cs="Symbol"/>
        <w:sz w:val="24"/>
        <w:szCs w:val="24"/>
      </w:rPr>
    </w:lvl>
    <w:lvl w:ilvl="7">
      <w:numFmt w:val="bullet"/>
      <w:lvlText w:val="o"/>
      <w:lvlJc w:val="left"/>
      <w:pPr>
        <w:tabs>
          <w:tab w:val="num" w:pos="5850"/>
        </w:tabs>
        <w:ind w:left="5850" w:hanging="360"/>
      </w:pPr>
      <w:rPr>
        <w:rFonts w:ascii="Courier New" w:hAnsi="Courier New" w:cs="Courier New"/>
        <w:sz w:val="24"/>
        <w:szCs w:val="24"/>
      </w:rPr>
    </w:lvl>
    <w:lvl w:ilvl="8">
      <w:numFmt w:val="bullet"/>
      <w:lvlText w:val="§"/>
      <w:lvlJc w:val="left"/>
      <w:pPr>
        <w:tabs>
          <w:tab w:val="num" w:pos="6570"/>
        </w:tabs>
        <w:ind w:left="6570" w:hanging="360"/>
      </w:pPr>
      <w:rPr>
        <w:rFonts w:ascii="Wingdings" w:hAnsi="Wingdings" w:cs="Wingdings"/>
        <w:sz w:val="24"/>
        <w:szCs w:val="24"/>
      </w:rPr>
    </w:lvl>
  </w:abstractNum>
  <w:abstractNum w:abstractNumId="13" w15:restartNumberingAfterBreak="0">
    <w:nsid w:val="2B6B5744"/>
    <w:multiLevelType w:val="multilevel"/>
    <w:tmpl w:val="2B6B57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FE77073"/>
    <w:multiLevelType w:val="hybridMultilevel"/>
    <w:tmpl w:val="9804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A60BF"/>
    <w:multiLevelType w:val="multilevel"/>
    <w:tmpl w:val="7CEDD0F2"/>
    <w:lvl w:ilvl="0">
      <w:numFmt w:val="bullet"/>
      <w:lvlText w:val="·"/>
      <w:lvlJc w:val="left"/>
      <w:pPr>
        <w:tabs>
          <w:tab w:val="num" w:pos="345"/>
        </w:tabs>
        <w:ind w:left="345"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 w15:restartNumberingAfterBreak="0">
    <w:nsid w:val="32AD5949"/>
    <w:multiLevelType w:val="multilevel"/>
    <w:tmpl w:val="45EF6774"/>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34072413"/>
    <w:multiLevelType w:val="hybridMultilevel"/>
    <w:tmpl w:val="29BC6B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6CC966C"/>
    <w:multiLevelType w:val="multilevel"/>
    <w:tmpl w:val="8830112E"/>
    <w:lvl w:ilvl="0">
      <w:start w:val="1"/>
      <w:numFmt w:val="decimal"/>
      <w:lvlText w:val="%1."/>
      <w:lvlJc w:val="left"/>
      <w:pPr>
        <w:tabs>
          <w:tab w:val="num" w:pos="1065"/>
        </w:tabs>
        <w:ind w:firstLine="705"/>
      </w:pPr>
      <w:rPr>
        <w:rFonts w:ascii="Trebuchet MS" w:hAnsi="Trebuchet MS" w:cs="Times New Roman" w:hint="default"/>
        <w:b/>
        <w:bCs/>
        <w:sz w:val="22"/>
        <w:szCs w:val="22"/>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15:restartNumberingAfterBreak="0">
    <w:nsid w:val="3D5355C0"/>
    <w:multiLevelType w:val="hybridMultilevel"/>
    <w:tmpl w:val="FEF8FBB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2340D7C"/>
    <w:multiLevelType w:val="hybridMultilevel"/>
    <w:tmpl w:val="E4146596"/>
    <w:lvl w:ilvl="0" w:tplc="9E96903C">
      <w:start w:val="1"/>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C7FE9"/>
    <w:multiLevelType w:val="hybridMultilevel"/>
    <w:tmpl w:val="C0646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3FBD1DB"/>
    <w:multiLevelType w:val="multilevel"/>
    <w:tmpl w:val="71436D2B"/>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2107"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49563F01"/>
    <w:multiLevelType w:val="hybridMultilevel"/>
    <w:tmpl w:val="7D3A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41A4A"/>
    <w:multiLevelType w:val="hybridMultilevel"/>
    <w:tmpl w:val="8FE00428"/>
    <w:lvl w:ilvl="0" w:tplc="04180005">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CF64710"/>
    <w:multiLevelType w:val="hybridMultilevel"/>
    <w:tmpl w:val="C56C47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D0328CA"/>
    <w:multiLevelType w:val="multilevel"/>
    <w:tmpl w:val="4D0328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23F07EB"/>
    <w:multiLevelType w:val="hybridMultilevel"/>
    <w:tmpl w:val="D6C0368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5F26657"/>
    <w:multiLevelType w:val="multilevel"/>
    <w:tmpl w:val="55F26657"/>
    <w:lvl w:ilvl="0">
      <w:start w:val="1"/>
      <w:numFmt w:val="decimal"/>
      <w:lvlText w:val="%1."/>
      <w:lvlJc w:val="left"/>
      <w:pPr>
        <w:ind w:left="450" w:hanging="360"/>
      </w:pPr>
      <w:rPr>
        <w:rFonts w:hint="default"/>
      </w:rPr>
    </w:lvl>
    <w:lvl w:ilvl="1">
      <w:start w:val="7"/>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C476030"/>
    <w:multiLevelType w:val="hybridMultilevel"/>
    <w:tmpl w:val="B586428C"/>
    <w:lvl w:ilvl="0" w:tplc="04180005">
      <w:start w:val="1"/>
      <w:numFmt w:val="bullet"/>
      <w:lvlText w:val=""/>
      <w:lvlJc w:val="left"/>
      <w:pPr>
        <w:ind w:left="1429" w:hanging="360"/>
      </w:pPr>
      <w:rPr>
        <w:rFonts w:ascii="Wingdings" w:hAnsi="Wingdings" w:hint="default"/>
      </w:rPr>
    </w:lvl>
    <w:lvl w:ilvl="1" w:tplc="04180005">
      <w:start w:val="1"/>
      <w:numFmt w:val="bullet"/>
      <w:lvlText w:val=""/>
      <w:lvlJc w:val="left"/>
      <w:pPr>
        <w:ind w:left="2149" w:hanging="360"/>
      </w:pPr>
      <w:rPr>
        <w:rFonts w:ascii="Wingdings" w:hAnsi="Wingdings"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15:restartNumberingAfterBreak="0">
    <w:nsid w:val="633122A5"/>
    <w:multiLevelType w:val="multilevel"/>
    <w:tmpl w:val="633122A5"/>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Trebuchet MS" w:eastAsia="Times New Roman" w:hAnsi="Trebuchet MS"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4E443F4"/>
    <w:multiLevelType w:val="hybridMultilevel"/>
    <w:tmpl w:val="D16C9F02"/>
    <w:lvl w:ilvl="0" w:tplc="04180005">
      <w:start w:val="1"/>
      <w:numFmt w:val="bullet"/>
      <w:lvlText w:val=""/>
      <w:lvlJc w:val="left"/>
      <w:pPr>
        <w:ind w:left="720" w:hanging="360"/>
      </w:pPr>
      <w:rPr>
        <w:rFonts w:ascii="Wingdings" w:hAnsi="Wingdings" w:hint="default"/>
      </w:rPr>
    </w:lvl>
    <w:lvl w:ilvl="1" w:tplc="A754AD02">
      <w:numFmt w:val="bullet"/>
      <w:lvlText w:val="•"/>
      <w:lvlJc w:val="left"/>
      <w:pPr>
        <w:ind w:left="1500" w:hanging="420"/>
      </w:pPr>
      <w:rPr>
        <w:rFonts w:ascii="Trebuchet MS" w:eastAsiaTheme="minorHAnsi" w:hAnsi="Trebuchet MS" w:cstheme="minorBidi" w:hint="default"/>
        <w:b/>
        <w:color w:val="0070C0"/>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51F2954"/>
    <w:multiLevelType w:val="multilevel"/>
    <w:tmpl w:val="651F295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664B48A"/>
    <w:multiLevelType w:val="multilevel"/>
    <w:tmpl w:val="1F04CB4E"/>
    <w:lvl w:ilvl="0">
      <w:numFmt w:val="bullet"/>
      <w:lvlText w:val="·"/>
      <w:lvlJc w:val="left"/>
      <w:pPr>
        <w:tabs>
          <w:tab w:val="num" w:pos="0"/>
        </w:tabs>
        <w:ind w:hanging="15"/>
      </w:pPr>
      <w:rPr>
        <w:rFonts w:ascii="Symbol" w:hAnsi="Symbol" w:cs="Symbol"/>
        <w:sz w:val="22"/>
        <w:szCs w:val="22"/>
      </w:rPr>
    </w:lvl>
    <w:lvl w:ilvl="1">
      <w:numFmt w:val="bullet"/>
      <w:lvlText w:val="o"/>
      <w:lvlJc w:val="left"/>
      <w:pPr>
        <w:tabs>
          <w:tab w:val="num" w:pos="1530"/>
        </w:tabs>
        <w:ind w:left="1530" w:hanging="360"/>
      </w:pPr>
      <w:rPr>
        <w:rFonts w:ascii="Courier New" w:hAnsi="Courier New" w:cs="Courier New"/>
        <w:sz w:val="24"/>
        <w:szCs w:val="24"/>
      </w:rPr>
    </w:lvl>
    <w:lvl w:ilvl="2">
      <w:numFmt w:val="bullet"/>
      <w:lvlText w:val="§"/>
      <w:lvlJc w:val="left"/>
      <w:pPr>
        <w:tabs>
          <w:tab w:val="num" w:pos="2250"/>
        </w:tabs>
        <w:ind w:left="2250" w:hanging="360"/>
      </w:pPr>
      <w:rPr>
        <w:rFonts w:ascii="Wingdings" w:hAnsi="Wingdings" w:cs="Wingdings"/>
        <w:sz w:val="24"/>
        <w:szCs w:val="24"/>
      </w:rPr>
    </w:lvl>
    <w:lvl w:ilvl="3">
      <w:numFmt w:val="bullet"/>
      <w:lvlText w:val="·"/>
      <w:lvlJc w:val="left"/>
      <w:pPr>
        <w:tabs>
          <w:tab w:val="num" w:pos="2970"/>
        </w:tabs>
        <w:ind w:left="2970" w:hanging="360"/>
      </w:pPr>
      <w:rPr>
        <w:rFonts w:ascii="Symbol" w:hAnsi="Symbol" w:cs="Symbol"/>
        <w:sz w:val="24"/>
        <w:szCs w:val="24"/>
      </w:rPr>
    </w:lvl>
    <w:lvl w:ilvl="4">
      <w:numFmt w:val="bullet"/>
      <w:lvlText w:val="o"/>
      <w:lvlJc w:val="left"/>
      <w:pPr>
        <w:tabs>
          <w:tab w:val="num" w:pos="3690"/>
        </w:tabs>
        <w:ind w:left="3690" w:hanging="360"/>
      </w:pPr>
      <w:rPr>
        <w:rFonts w:ascii="Courier New" w:hAnsi="Courier New" w:cs="Courier New"/>
        <w:sz w:val="24"/>
        <w:szCs w:val="24"/>
      </w:rPr>
    </w:lvl>
    <w:lvl w:ilvl="5">
      <w:numFmt w:val="bullet"/>
      <w:lvlText w:val="§"/>
      <w:lvlJc w:val="left"/>
      <w:pPr>
        <w:tabs>
          <w:tab w:val="num" w:pos="4410"/>
        </w:tabs>
        <w:ind w:left="4410" w:hanging="360"/>
      </w:pPr>
      <w:rPr>
        <w:rFonts w:ascii="Wingdings" w:hAnsi="Wingdings" w:cs="Wingdings"/>
        <w:sz w:val="24"/>
        <w:szCs w:val="24"/>
      </w:rPr>
    </w:lvl>
    <w:lvl w:ilvl="6">
      <w:numFmt w:val="bullet"/>
      <w:lvlText w:val="·"/>
      <w:lvlJc w:val="left"/>
      <w:pPr>
        <w:tabs>
          <w:tab w:val="num" w:pos="5130"/>
        </w:tabs>
        <w:ind w:left="5130" w:hanging="360"/>
      </w:pPr>
      <w:rPr>
        <w:rFonts w:ascii="Symbol" w:hAnsi="Symbol" w:cs="Symbol"/>
        <w:sz w:val="24"/>
        <w:szCs w:val="24"/>
      </w:rPr>
    </w:lvl>
    <w:lvl w:ilvl="7">
      <w:numFmt w:val="bullet"/>
      <w:lvlText w:val="o"/>
      <w:lvlJc w:val="left"/>
      <w:pPr>
        <w:tabs>
          <w:tab w:val="num" w:pos="5850"/>
        </w:tabs>
        <w:ind w:left="5850" w:hanging="360"/>
      </w:pPr>
      <w:rPr>
        <w:rFonts w:ascii="Courier New" w:hAnsi="Courier New" w:cs="Courier New"/>
        <w:sz w:val="24"/>
        <w:szCs w:val="24"/>
      </w:rPr>
    </w:lvl>
    <w:lvl w:ilvl="8">
      <w:numFmt w:val="bullet"/>
      <w:lvlText w:val="§"/>
      <w:lvlJc w:val="left"/>
      <w:pPr>
        <w:tabs>
          <w:tab w:val="num" w:pos="6570"/>
        </w:tabs>
        <w:ind w:left="6570" w:hanging="360"/>
      </w:pPr>
      <w:rPr>
        <w:rFonts w:ascii="Wingdings" w:hAnsi="Wingdings" w:cs="Wingdings"/>
        <w:sz w:val="24"/>
        <w:szCs w:val="24"/>
      </w:rPr>
    </w:lvl>
  </w:abstractNum>
  <w:abstractNum w:abstractNumId="35" w15:restartNumberingAfterBreak="0">
    <w:nsid w:val="6A7E44C8"/>
    <w:multiLevelType w:val="multilevel"/>
    <w:tmpl w:val="6A7E44C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C8D2926"/>
    <w:multiLevelType w:val="hybridMultilevel"/>
    <w:tmpl w:val="A02EA2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1F3D839"/>
    <w:multiLevelType w:val="multilevel"/>
    <w:tmpl w:val="7DACB4F0"/>
    <w:lvl w:ilvl="0">
      <w:start w:val="1"/>
      <w:numFmt w:val="decimal"/>
      <w:lvlText w:val="%1."/>
      <w:lvlJc w:val="left"/>
      <w:pPr>
        <w:tabs>
          <w:tab w:val="num" w:pos="1065"/>
        </w:tabs>
        <w:ind w:firstLine="705"/>
      </w:pPr>
      <w:rPr>
        <w:rFonts w:ascii="Trebuchet MS" w:hAnsi="Trebuchet MS" w:cs="Times New Roman" w:hint="default"/>
        <w:b/>
        <w:bCs/>
        <w:sz w:val="22"/>
        <w:szCs w:val="22"/>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38" w15:restartNumberingAfterBreak="0">
    <w:nsid w:val="771D712D"/>
    <w:multiLevelType w:val="hybridMultilevel"/>
    <w:tmpl w:val="2146F6C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D1C5BF7"/>
    <w:multiLevelType w:val="multilevel"/>
    <w:tmpl w:val="7D1C5BF7"/>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27"/>
  </w:num>
  <w:num w:numId="3">
    <w:abstractNumId w:val="13"/>
  </w:num>
  <w:num w:numId="4">
    <w:abstractNumId w:val="35"/>
  </w:num>
  <w:num w:numId="5">
    <w:abstractNumId w:val="1"/>
  </w:num>
  <w:num w:numId="6">
    <w:abstractNumId w:val="31"/>
  </w:num>
  <w:num w:numId="7">
    <w:abstractNumId w:val="33"/>
  </w:num>
  <w:num w:numId="8">
    <w:abstractNumId w:val="39"/>
  </w:num>
  <w:num w:numId="9">
    <w:abstractNumId w:val="11"/>
  </w:num>
  <w:num w:numId="10">
    <w:abstractNumId w:val="24"/>
  </w:num>
  <w:num w:numId="11">
    <w:abstractNumId w:val="17"/>
  </w:num>
  <w:num w:numId="12">
    <w:abstractNumId w:val="36"/>
  </w:num>
  <w:num w:numId="13">
    <w:abstractNumId w:val="26"/>
  </w:num>
  <w:num w:numId="14">
    <w:abstractNumId w:val="20"/>
  </w:num>
  <w:num w:numId="15">
    <w:abstractNumId w:val="8"/>
  </w:num>
  <w:num w:numId="16">
    <w:abstractNumId w:val="36"/>
  </w:num>
  <w:num w:numId="17">
    <w:abstractNumId w:val="17"/>
  </w:num>
  <w:num w:numId="18">
    <w:abstractNumId w:val="16"/>
  </w:num>
  <w:num w:numId="19">
    <w:abstractNumId w:val="12"/>
  </w:num>
  <w:num w:numId="20">
    <w:abstractNumId w:val="15"/>
  </w:num>
  <w:num w:numId="21">
    <w:abstractNumId w:val="5"/>
  </w:num>
  <w:num w:numId="22">
    <w:abstractNumId w:val="3"/>
  </w:num>
  <w:num w:numId="23">
    <w:abstractNumId w:val="22"/>
  </w:num>
  <w:num w:numId="24">
    <w:abstractNumId w:val="34"/>
  </w:num>
  <w:num w:numId="25">
    <w:abstractNumId w:val="14"/>
  </w:num>
  <w:num w:numId="26">
    <w:abstractNumId w:val="38"/>
  </w:num>
  <w:num w:numId="27">
    <w:abstractNumId w:val="7"/>
  </w:num>
  <w:num w:numId="28">
    <w:abstractNumId w:val="0"/>
  </w:num>
  <w:num w:numId="29">
    <w:abstractNumId w:val="9"/>
  </w:num>
  <w:num w:numId="30">
    <w:abstractNumId w:val="23"/>
  </w:num>
  <w:num w:numId="31">
    <w:abstractNumId w:val="28"/>
  </w:num>
  <w:num w:numId="32">
    <w:abstractNumId w:val="30"/>
  </w:num>
  <w:num w:numId="33">
    <w:abstractNumId w:val="19"/>
  </w:num>
  <w:num w:numId="34">
    <w:abstractNumId w:val="4"/>
  </w:num>
  <w:num w:numId="35">
    <w:abstractNumId w:val="25"/>
  </w:num>
  <w:num w:numId="36">
    <w:abstractNumId w:val="32"/>
  </w:num>
  <w:num w:numId="37">
    <w:abstractNumId w:val="6"/>
  </w:num>
  <w:num w:numId="38">
    <w:abstractNumId w:val="2"/>
  </w:num>
  <w:num w:numId="39">
    <w:abstractNumId w:val="21"/>
  </w:num>
  <w:num w:numId="40">
    <w:abstractNumId w:val="10"/>
  </w:num>
  <w:num w:numId="41">
    <w:abstractNumId w:val="3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6949"/>
    <w:rsid w:val="00000996"/>
    <w:rsid w:val="0000211E"/>
    <w:rsid w:val="00025D0F"/>
    <w:rsid w:val="00053094"/>
    <w:rsid w:val="000648C0"/>
    <w:rsid w:val="00066DA2"/>
    <w:rsid w:val="00073892"/>
    <w:rsid w:val="00080FED"/>
    <w:rsid w:val="00083A3B"/>
    <w:rsid w:val="00086EBC"/>
    <w:rsid w:val="00087CF8"/>
    <w:rsid w:val="00091233"/>
    <w:rsid w:val="00097A7C"/>
    <w:rsid w:val="00097ED2"/>
    <w:rsid w:val="000D2C8F"/>
    <w:rsid w:val="000E41D6"/>
    <w:rsid w:val="000F3B51"/>
    <w:rsid w:val="001058B1"/>
    <w:rsid w:val="00123283"/>
    <w:rsid w:val="00137372"/>
    <w:rsid w:val="0014004A"/>
    <w:rsid w:val="0014416F"/>
    <w:rsid w:val="001605D6"/>
    <w:rsid w:val="00163F3F"/>
    <w:rsid w:val="001811AC"/>
    <w:rsid w:val="00182B4C"/>
    <w:rsid w:val="00186906"/>
    <w:rsid w:val="001B3892"/>
    <w:rsid w:val="001C216C"/>
    <w:rsid w:val="00226783"/>
    <w:rsid w:val="00233A54"/>
    <w:rsid w:val="002365B7"/>
    <w:rsid w:val="002414E1"/>
    <w:rsid w:val="00247F72"/>
    <w:rsid w:val="002548F8"/>
    <w:rsid w:val="00257717"/>
    <w:rsid w:val="002A45D3"/>
    <w:rsid w:val="002B7676"/>
    <w:rsid w:val="002C4C49"/>
    <w:rsid w:val="002D284E"/>
    <w:rsid w:val="002D5E93"/>
    <w:rsid w:val="002E0366"/>
    <w:rsid w:val="002E082E"/>
    <w:rsid w:val="002E375A"/>
    <w:rsid w:val="002F186D"/>
    <w:rsid w:val="002F3A42"/>
    <w:rsid w:val="00310345"/>
    <w:rsid w:val="00337BBC"/>
    <w:rsid w:val="00341932"/>
    <w:rsid w:val="003539BB"/>
    <w:rsid w:val="0037338A"/>
    <w:rsid w:val="003822B5"/>
    <w:rsid w:val="003D2E33"/>
    <w:rsid w:val="003D5D30"/>
    <w:rsid w:val="003E5881"/>
    <w:rsid w:val="003F392C"/>
    <w:rsid w:val="003F5987"/>
    <w:rsid w:val="00404074"/>
    <w:rsid w:val="004161C3"/>
    <w:rsid w:val="00436C24"/>
    <w:rsid w:val="0044278B"/>
    <w:rsid w:val="0047096F"/>
    <w:rsid w:val="004A01ED"/>
    <w:rsid w:val="004A6D9C"/>
    <w:rsid w:val="004B3F07"/>
    <w:rsid w:val="004C014F"/>
    <w:rsid w:val="004D12D4"/>
    <w:rsid w:val="004D1583"/>
    <w:rsid w:val="004E306F"/>
    <w:rsid w:val="004E6BA0"/>
    <w:rsid w:val="00503CD6"/>
    <w:rsid w:val="00524EA4"/>
    <w:rsid w:val="005353E3"/>
    <w:rsid w:val="005407EB"/>
    <w:rsid w:val="00544B4F"/>
    <w:rsid w:val="00546A40"/>
    <w:rsid w:val="005653F2"/>
    <w:rsid w:val="00590A18"/>
    <w:rsid w:val="00593351"/>
    <w:rsid w:val="005A6607"/>
    <w:rsid w:val="005A740C"/>
    <w:rsid w:val="005D7FAF"/>
    <w:rsid w:val="0062202F"/>
    <w:rsid w:val="00630296"/>
    <w:rsid w:val="00632CA0"/>
    <w:rsid w:val="00637138"/>
    <w:rsid w:val="00644A91"/>
    <w:rsid w:val="006474F6"/>
    <w:rsid w:val="00667943"/>
    <w:rsid w:val="006770A8"/>
    <w:rsid w:val="006779E7"/>
    <w:rsid w:val="006A7CC4"/>
    <w:rsid w:val="006B0800"/>
    <w:rsid w:val="006B6848"/>
    <w:rsid w:val="006C65AB"/>
    <w:rsid w:val="006E575A"/>
    <w:rsid w:val="006F431C"/>
    <w:rsid w:val="0073062D"/>
    <w:rsid w:val="00734BEF"/>
    <w:rsid w:val="007423E9"/>
    <w:rsid w:val="00745E30"/>
    <w:rsid w:val="00747AC4"/>
    <w:rsid w:val="007926D4"/>
    <w:rsid w:val="0079569A"/>
    <w:rsid w:val="007A517C"/>
    <w:rsid w:val="007B0899"/>
    <w:rsid w:val="007E36D2"/>
    <w:rsid w:val="007E6140"/>
    <w:rsid w:val="008234C4"/>
    <w:rsid w:val="00826D04"/>
    <w:rsid w:val="00841268"/>
    <w:rsid w:val="00851269"/>
    <w:rsid w:val="00856771"/>
    <w:rsid w:val="0087599F"/>
    <w:rsid w:val="008760BF"/>
    <w:rsid w:val="008829D9"/>
    <w:rsid w:val="008B5FD3"/>
    <w:rsid w:val="008D3350"/>
    <w:rsid w:val="008D5824"/>
    <w:rsid w:val="0091352A"/>
    <w:rsid w:val="0091739C"/>
    <w:rsid w:val="00920FFA"/>
    <w:rsid w:val="00956949"/>
    <w:rsid w:val="00956E0C"/>
    <w:rsid w:val="00973FCD"/>
    <w:rsid w:val="00982CA9"/>
    <w:rsid w:val="00983EC3"/>
    <w:rsid w:val="00992520"/>
    <w:rsid w:val="00995A4D"/>
    <w:rsid w:val="009B049E"/>
    <w:rsid w:val="009B415A"/>
    <w:rsid w:val="009C78AD"/>
    <w:rsid w:val="009D0F4A"/>
    <w:rsid w:val="009F0B51"/>
    <w:rsid w:val="00A07707"/>
    <w:rsid w:val="00A10554"/>
    <w:rsid w:val="00A34260"/>
    <w:rsid w:val="00A457FE"/>
    <w:rsid w:val="00A46CBA"/>
    <w:rsid w:val="00A47506"/>
    <w:rsid w:val="00A54D10"/>
    <w:rsid w:val="00A7288A"/>
    <w:rsid w:val="00A93A85"/>
    <w:rsid w:val="00A962F9"/>
    <w:rsid w:val="00A968F2"/>
    <w:rsid w:val="00AA4129"/>
    <w:rsid w:val="00AB4FF8"/>
    <w:rsid w:val="00AB70BD"/>
    <w:rsid w:val="00AC1413"/>
    <w:rsid w:val="00AD62F6"/>
    <w:rsid w:val="00AE04E6"/>
    <w:rsid w:val="00AE57FA"/>
    <w:rsid w:val="00B441C2"/>
    <w:rsid w:val="00B57510"/>
    <w:rsid w:val="00B72351"/>
    <w:rsid w:val="00B85946"/>
    <w:rsid w:val="00B92921"/>
    <w:rsid w:val="00BA017E"/>
    <w:rsid w:val="00BA2D7E"/>
    <w:rsid w:val="00BB2DA0"/>
    <w:rsid w:val="00BB7156"/>
    <w:rsid w:val="00BE514A"/>
    <w:rsid w:val="00BE5F5A"/>
    <w:rsid w:val="00C01B84"/>
    <w:rsid w:val="00C03218"/>
    <w:rsid w:val="00C34464"/>
    <w:rsid w:val="00C36337"/>
    <w:rsid w:val="00C41B87"/>
    <w:rsid w:val="00C44F7C"/>
    <w:rsid w:val="00C709D1"/>
    <w:rsid w:val="00C7449C"/>
    <w:rsid w:val="00C81CBA"/>
    <w:rsid w:val="00CA389E"/>
    <w:rsid w:val="00CC7530"/>
    <w:rsid w:val="00CC7F03"/>
    <w:rsid w:val="00CD6D02"/>
    <w:rsid w:val="00D153A9"/>
    <w:rsid w:val="00D23605"/>
    <w:rsid w:val="00D2780C"/>
    <w:rsid w:val="00D524A4"/>
    <w:rsid w:val="00DB144B"/>
    <w:rsid w:val="00DB4723"/>
    <w:rsid w:val="00DB72D6"/>
    <w:rsid w:val="00DC2404"/>
    <w:rsid w:val="00DC3C9C"/>
    <w:rsid w:val="00E074F3"/>
    <w:rsid w:val="00E11285"/>
    <w:rsid w:val="00E34278"/>
    <w:rsid w:val="00E43EA6"/>
    <w:rsid w:val="00E44C49"/>
    <w:rsid w:val="00E80637"/>
    <w:rsid w:val="00EE2AE8"/>
    <w:rsid w:val="00EE5E42"/>
    <w:rsid w:val="00F04C00"/>
    <w:rsid w:val="00F075A3"/>
    <w:rsid w:val="00F22AAF"/>
    <w:rsid w:val="00F24EB5"/>
    <w:rsid w:val="00F4126D"/>
    <w:rsid w:val="00F5241F"/>
    <w:rsid w:val="00F6577A"/>
    <w:rsid w:val="00F817A2"/>
    <w:rsid w:val="00F97050"/>
    <w:rsid w:val="00FA458F"/>
    <w:rsid w:val="00FD1DA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176AD-5637-4078-A07C-67F786129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03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23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2351"/>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B72351"/>
    <w:pPr>
      <w:autoSpaceDE w:val="0"/>
      <w:autoSpaceDN w:val="0"/>
      <w:adjustRightInd w:val="0"/>
      <w:spacing w:after="0" w:line="240" w:lineRule="auto"/>
    </w:pPr>
    <w:rPr>
      <w:rFonts w:ascii="Trebuchet MS" w:eastAsia="Calibri" w:hAnsi="Trebuchet MS" w:cs="Trebuchet MS"/>
      <w:color w:val="000000"/>
      <w:sz w:val="24"/>
      <w:szCs w:val="24"/>
    </w:rPr>
  </w:style>
  <w:style w:type="paragraph" w:styleId="BalloonText">
    <w:name w:val="Balloon Text"/>
    <w:basedOn w:val="Normal"/>
    <w:link w:val="BalloonTextChar"/>
    <w:uiPriority w:val="99"/>
    <w:semiHidden/>
    <w:unhideWhenUsed/>
    <w:rsid w:val="00A54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D10"/>
    <w:rPr>
      <w:rFonts w:ascii="Segoe UI" w:hAnsi="Segoe UI" w:cs="Segoe UI"/>
      <w:sz w:val="18"/>
      <w:szCs w:val="18"/>
    </w:rPr>
  </w:style>
  <w:style w:type="paragraph" w:styleId="Header">
    <w:name w:val="header"/>
    <w:basedOn w:val="Normal"/>
    <w:link w:val="HeaderChar"/>
    <w:uiPriority w:val="99"/>
    <w:unhideWhenUsed/>
    <w:rsid w:val="00995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A4D"/>
  </w:style>
  <w:style w:type="paragraph" w:styleId="Footer">
    <w:name w:val="footer"/>
    <w:basedOn w:val="Normal"/>
    <w:link w:val="FooterChar"/>
    <w:uiPriority w:val="99"/>
    <w:unhideWhenUsed/>
    <w:rsid w:val="00995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108576">
      <w:bodyDiv w:val="1"/>
      <w:marLeft w:val="0"/>
      <w:marRight w:val="0"/>
      <w:marTop w:val="0"/>
      <w:marBottom w:val="0"/>
      <w:divBdr>
        <w:top w:val="none" w:sz="0" w:space="0" w:color="auto"/>
        <w:left w:val="none" w:sz="0" w:space="0" w:color="auto"/>
        <w:bottom w:val="none" w:sz="0" w:space="0" w:color="auto"/>
        <w:right w:val="none" w:sz="0" w:space="0" w:color="auto"/>
      </w:divBdr>
    </w:div>
    <w:div w:id="16214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299C-EF71-4D70-A115-0580D2DF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11</cp:revision>
  <cp:lastPrinted>2016-05-30T07:16:00Z</cp:lastPrinted>
  <dcterms:created xsi:type="dcterms:W3CDTF">2017-07-20T13:10:00Z</dcterms:created>
  <dcterms:modified xsi:type="dcterms:W3CDTF">2018-05-05T11:46:00Z</dcterms:modified>
</cp:coreProperties>
</file>